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0511F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Procedura dyplomowania na kierunku Media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mastering</w:t>
      </w:r>
      <w:proofErr w:type="spellEnd"/>
    </w:p>
    <w:p w14:paraId="00000002" w14:textId="77777777" w:rsidR="0000511F" w:rsidRDefault="0000511F">
      <w:pPr>
        <w:rPr>
          <w:rFonts w:ascii="Times New Roman" w:eastAsia="Times New Roman" w:hAnsi="Times New Roman" w:cs="Times New Roman"/>
          <w:b/>
          <w:bCs/>
        </w:rPr>
      </w:pPr>
    </w:p>
    <w:p w14:paraId="00000003" w14:textId="77777777" w:rsidR="0000511F" w:rsidRDefault="00000000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Program studiów nie przewiduje pisania pracy dyplomowej (licencjackiej). Studia kończą się ustnym egzaminem dyplomowym składanym przed komisją powołaną przez dziekana. W ramach przygotowania do egzaminu dyplomowego studenci uczestniczą w seminarium dyplomowym realizowanym w ostatnim semestrze. Lista prowadzących seminaria jest udostępniana studentom przed rozpoczęciem semestru.</w:t>
      </w:r>
    </w:p>
    <w:p w14:paraId="00000004" w14:textId="77777777" w:rsidR="0000511F" w:rsidRDefault="00000000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Tematyka seminariów obejmuje zagadnienia z zakresu przedmiotów obowiązkowych realizowanych w czasie studiów, a ich lista, po zatwierdzeniu przez Dziekana jest udostępniana seminarzystom na początku roku akademickiego. Warunkiem zaliczenia seminarium jest opracowanie projektu dyplomowego składającego się z części teoretycznej w postaci dokumentacji projektowej (o łącznej objętości około 20 tys. znaków) oraz z części praktycznej - multimedialnej prezentacji tego zagadnienia i umieszczenie jej na platformie Ms </w:t>
      </w:r>
      <w:proofErr w:type="spellStart"/>
      <w:r>
        <w:rPr>
          <w:rFonts w:ascii="Times New Roman" w:eastAsia="Times New Roman" w:hAnsi="Times New Roman" w:cs="Times New Roman"/>
        </w:rPr>
        <w:t>Teams</w:t>
      </w:r>
      <w:proofErr w:type="spellEnd"/>
      <w:r>
        <w:rPr>
          <w:rFonts w:ascii="Times New Roman" w:eastAsia="Times New Roman" w:hAnsi="Times New Roman" w:cs="Times New Roman"/>
        </w:rPr>
        <w:t xml:space="preserve"> Uczelni. </w:t>
      </w:r>
    </w:p>
    <w:p w14:paraId="00000005" w14:textId="77777777" w:rsidR="0000511F" w:rsidRDefault="00000000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Tematyka projektów seminaryjnych musi być związana ze studiowanym kierunkiem i prezentować praktyczne wykorzystanie osiągniętych w trakcie studiów efektów uczenia się (np. kampania komunikacyjna firmy/organizacji, kampania wizerunkowa, dokumentacja i stworzenie strony internetowej wraz ze wszystkimi koniecznymi jej komponentami, zgodnie z sztuką UX i projektowania uniwersalnego, blog i jego popularyzacja z wykorzystaniem najnowszych trendów, wykorzystanie </w:t>
      </w:r>
      <w:proofErr w:type="spellStart"/>
      <w:r>
        <w:rPr>
          <w:rFonts w:ascii="Times New Roman" w:eastAsia="Times New Roman" w:hAnsi="Times New Roman" w:cs="Times New Roman"/>
        </w:rPr>
        <w:t>social</w:t>
      </w:r>
      <w:proofErr w:type="spellEnd"/>
      <w:r>
        <w:rPr>
          <w:rFonts w:ascii="Times New Roman" w:eastAsia="Times New Roman" w:hAnsi="Times New Roman" w:cs="Times New Roman"/>
        </w:rPr>
        <w:t xml:space="preserve"> mediów dla promocji i budowania wizerunku przez jednostki lub organizacje, projekt kampanii społecznej, plan kampanii politycznej, projekt dotyczący organizacji i promocji wydarzenia kulturalnego, społecznego itp.).</w:t>
      </w:r>
    </w:p>
    <w:p w14:paraId="00000006" w14:textId="77777777" w:rsidR="0000511F" w:rsidRDefault="00000000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 trakcie ustnego egzaminu dyplomowego student odpowiada na trzy pytania: dwa z </w:t>
      </w:r>
      <w:proofErr w:type="gramStart"/>
      <w:r>
        <w:rPr>
          <w:rFonts w:ascii="Times New Roman" w:eastAsia="Times New Roman" w:hAnsi="Times New Roman" w:cs="Times New Roman"/>
        </w:rPr>
        <w:t>nich  pochodzą</w:t>
      </w:r>
      <w:proofErr w:type="gramEnd"/>
      <w:r>
        <w:rPr>
          <w:rFonts w:ascii="Times New Roman" w:eastAsia="Times New Roman" w:hAnsi="Times New Roman" w:cs="Times New Roman"/>
        </w:rPr>
        <w:t xml:space="preserve"> z listy zagadnień egzaminacyjnych, jedno dotyczy zagadnienia związanego z projektem.</w:t>
      </w:r>
    </w:p>
    <w:p w14:paraId="00000007" w14:textId="77777777" w:rsidR="0000511F" w:rsidRDefault="0000511F">
      <w:pPr>
        <w:ind w:firstLine="720"/>
        <w:jc w:val="both"/>
        <w:rPr>
          <w:rFonts w:ascii="Times New Roman" w:eastAsia="Times New Roman" w:hAnsi="Times New Roman" w:cs="Times New Roman"/>
        </w:rPr>
      </w:pPr>
    </w:p>
    <w:p w14:paraId="00000008" w14:textId="77777777" w:rsidR="0000511F" w:rsidRDefault="00000000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Lista zagadnień:</w:t>
      </w:r>
    </w:p>
    <w:p w14:paraId="00000009" w14:textId="77777777" w:rsidR="0000511F" w:rsidRDefault="0000511F">
      <w:pPr>
        <w:jc w:val="both"/>
        <w:rPr>
          <w:rFonts w:ascii="Times New Roman" w:eastAsia="Times New Roman" w:hAnsi="Times New Roman" w:cs="Times New Roman"/>
        </w:rPr>
      </w:pPr>
    </w:p>
    <w:p w14:paraId="0000000A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1/ Rola i funkcje mediów we współczesnym społeczeństwie informacyjnym.</w:t>
      </w:r>
    </w:p>
    <w:p w14:paraId="0000000B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2/ Zjawisko mediatyzacji polityki i życia społecznego.</w:t>
      </w:r>
    </w:p>
    <w:p w14:paraId="0000000C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3/ Teorie oddziaływania mediów na odbiorcę.</w:t>
      </w:r>
    </w:p>
    <w:p w14:paraId="0000000D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4/ Rewolucja cyfrowa i jej wpływ na tradycyjne modele komunikacji masowej.</w:t>
      </w:r>
    </w:p>
    <w:p w14:paraId="0000000E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5/ Koncepcja mediów "starych" i "nowych" – proces konwergencji mediów.</w:t>
      </w:r>
    </w:p>
    <w:p w14:paraId="0000000F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6/ Algorytmizacja treści w mediach społecznościowych a zjawisko baniek informacyjnych.</w:t>
      </w:r>
    </w:p>
    <w:p w14:paraId="00000010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7/ Wykorzystanie Sztucznej Inteligencji (AI) w procesach kreacji i produkcji medialnej.</w:t>
      </w:r>
    </w:p>
    <w:p w14:paraId="00000011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8/ Media Mastering jako interdyscyplinarny obszar kompetencji – definicja i zakres.</w:t>
      </w:r>
    </w:p>
    <w:p w14:paraId="00000012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9/ Proces </w:t>
      </w:r>
      <w:proofErr w:type="spellStart"/>
      <w:r>
        <w:rPr>
          <w:rFonts w:ascii="Times New Roman" w:eastAsia="Times New Roman" w:hAnsi="Times New Roman" w:cs="Times New Roman"/>
        </w:rPr>
        <w:t>masteringu</w:t>
      </w:r>
      <w:proofErr w:type="spellEnd"/>
      <w:r>
        <w:rPr>
          <w:rFonts w:ascii="Times New Roman" w:eastAsia="Times New Roman" w:hAnsi="Times New Roman" w:cs="Times New Roman"/>
        </w:rPr>
        <w:t xml:space="preserve"> w produkcji audio i wideo – kluczowe etapy techniczne.</w:t>
      </w:r>
    </w:p>
    <w:p w14:paraId="00000013" w14:textId="4739F44A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10/ </w:t>
      </w:r>
      <w:proofErr w:type="spellStart"/>
      <w:r>
        <w:rPr>
          <w:rFonts w:ascii="Times New Roman" w:eastAsia="Times New Roman" w:hAnsi="Times New Roman" w:cs="Times New Roman"/>
        </w:rPr>
        <w:t>Storytelling</w:t>
      </w:r>
      <w:proofErr w:type="spellEnd"/>
      <w:r>
        <w:rPr>
          <w:rFonts w:ascii="Times New Roman" w:eastAsia="Times New Roman" w:hAnsi="Times New Roman" w:cs="Times New Roman"/>
        </w:rPr>
        <w:t xml:space="preserve"> w nowoczesnych projektach multimedialnych.</w:t>
      </w:r>
    </w:p>
    <w:p w14:paraId="00000014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11/ Zarządzanie projektem medialnym – omówienie wybranych metodyk (np. Agile).</w:t>
      </w:r>
    </w:p>
    <w:p w14:paraId="00000015" w14:textId="64391DFA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12/ Budowanie marki w środowisku cyfrowym.</w:t>
      </w:r>
    </w:p>
    <w:p w14:paraId="00000016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13/ Content Marketing jako narzędzie budowania zaangażowania odbiorców.</w:t>
      </w:r>
    </w:p>
    <w:p w14:paraId="00000017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14/ Mechanizmy </w:t>
      </w:r>
      <w:proofErr w:type="spellStart"/>
      <w:r>
        <w:rPr>
          <w:rFonts w:ascii="Times New Roman" w:eastAsia="Times New Roman" w:hAnsi="Times New Roman" w:cs="Times New Roman"/>
        </w:rPr>
        <w:t>wiralowości</w:t>
      </w:r>
      <w:proofErr w:type="spellEnd"/>
      <w:r>
        <w:rPr>
          <w:rFonts w:ascii="Times New Roman" w:eastAsia="Times New Roman" w:hAnsi="Times New Roman" w:cs="Times New Roman"/>
        </w:rPr>
        <w:t xml:space="preserve"> treści i ich znaczenie w dystrybucji mediów.</w:t>
      </w:r>
    </w:p>
    <w:p w14:paraId="00000018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15/ Projektowanie doświadczeń użytkownika (UX) i interfejsów (UI) w mediach.</w:t>
      </w:r>
    </w:p>
    <w:p w14:paraId="00000019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16/ Modele biznesowe i strategie </w:t>
      </w:r>
      <w:proofErr w:type="spellStart"/>
      <w:r>
        <w:rPr>
          <w:rFonts w:ascii="Times New Roman" w:eastAsia="Times New Roman" w:hAnsi="Times New Roman" w:cs="Times New Roman"/>
        </w:rPr>
        <w:t>monetyzacji</w:t>
      </w:r>
      <w:proofErr w:type="spellEnd"/>
      <w:r>
        <w:rPr>
          <w:rFonts w:ascii="Times New Roman" w:eastAsia="Times New Roman" w:hAnsi="Times New Roman" w:cs="Times New Roman"/>
        </w:rPr>
        <w:t xml:space="preserve"> treści cyfrowych (subskrypcje, reklama).</w:t>
      </w:r>
    </w:p>
    <w:p w14:paraId="0000001A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17/ Etyka mediów i odpowiedzialność twórcy w dobie dezinformacji i </w:t>
      </w:r>
      <w:proofErr w:type="spellStart"/>
      <w:r>
        <w:rPr>
          <w:rFonts w:ascii="Times New Roman" w:eastAsia="Times New Roman" w:hAnsi="Times New Roman" w:cs="Times New Roman"/>
        </w:rPr>
        <w:t>fake</w:t>
      </w:r>
      <w:proofErr w:type="spellEnd"/>
      <w:r>
        <w:rPr>
          <w:rFonts w:ascii="Times New Roman" w:eastAsia="Times New Roman" w:hAnsi="Times New Roman" w:cs="Times New Roman"/>
        </w:rPr>
        <w:t xml:space="preserve"> news.</w:t>
      </w:r>
    </w:p>
    <w:p w14:paraId="0000001B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18/ Prawo autorskie i licencjonowanie treści w Internecie.</w:t>
      </w:r>
    </w:p>
    <w:p w14:paraId="0000001C" w14:textId="77777777" w:rsidR="0000511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19/ Ochrona dóbr osobistych i wizerunku w publikacjach internetowych.</w:t>
      </w:r>
    </w:p>
    <w:p w14:paraId="0000001D" w14:textId="77777777" w:rsidR="0000511F" w:rsidRDefault="00000000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</w:rPr>
        <w:t>20/ Zarządzanie sytuacją kryzysową w mediach społecznościowych.</w:t>
      </w:r>
    </w:p>
    <w:p w14:paraId="0000001E" w14:textId="77777777" w:rsidR="0000511F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>21/ Specyfika i siła komunikowania wizualnego we współczesnym przekazie.</w:t>
      </w:r>
    </w:p>
    <w:p w14:paraId="0000001F" w14:textId="77777777" w:rsidR="0000511F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22/ Rozwój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podcastingu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i streamingu jako alternatywy dla mediów linearnych.</w:t>
      </w:r>
    </w:p>
    <w:p w14:paraId="00000020" w14:textId="77777777" w:rsidR="0000511F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lastRenderedPageBreak/>
        <w:t>23/ Psychologiczne aspekty odbioru komunikatów w mediach społecznościowych.</w:t>
      </w:r>
    </w:p>
    <w:p w14:paraId="00000021" w14:textId="77777777" w:rsidR="0000511F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>24/ Zjawisko hejtu i mowy nienawiści – aspekty prawne i społeczne.</w:t>
      </w:r>
    </w:p>
    <w:p w14:paraId="00000022" w14:textId="77777777" w:rsidR="0000511F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>25/ Analityka mediów (Media Analytics) i rola danych w optymalizacji zasięgów.</w:t>
      </w:r>
    </w:p>
    <w:p w14:paraId="00000023" w14:textId="77777777" w:rsidR="0000511F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>26/ Rola mediów lokalnych i społecznościowych w kształtowaniu postaw obywatelskich.</w:t>
      </w:r>
    </w:p>
    <w:p w14:paraId="00000024" w14:textId="77777777" w:rsidR="0000511F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27/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Influencer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marketing jako nowoczesna forma komunikacji marketingowej.</w:t>
      </w:r>
    </w:p>
    <w:p w14:paraId="00000025" w14:textId="77777777" w:rsidR="0000511F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>28/ Bezpieczeństwo w sieci i higiena cyfrowa współczesnego użytkownika.</w:t>
      </w:r>
    </w:p>
    <w:p w14:paraId="00000026" w14:textId="77777777" w:rsidR="0000511F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>29/ Grywalizacja (gamifikacja) w projektowaniu treści medialnych.</w:t>
      </w:r>
    </w:p>
    <w:p w14:paraId="00000027" w14:textId="77777777" w:rsidR="0000511F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30 Przyszłość mediów: VR, AR i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Metaverse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w komunikacji społecznej.</w:t>
      </w:r>
    </w:p>
    <w:p w14:paraId="00000028" w14:textId="77777777" w:rsidR="0000511F" w:rsidRDefault="0000511F">
      <w:pPr>
        <w:jc w:val="both"/>
        <w:rPr>
          <w:rFonts w:ascii="Times New Roman" w:eastAsia="Times New Roman" w:hAnsi="Times New Roman" w:cs="Times New Roman"/>
        </w:rPr>
      </w:pPr>
    </w:p>
    <w:sectPr w:rsidR="0000511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4F79D84-B811-A34E-AFFB-BAD598E9E737}"/>
    <w:embedItalic r:id="rId2" w:fontKey="{273AA791-AC4B-6140-9841-41D3DEE427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1981C4A-15D3-7D49-8A40-9595737D7DDF}"/>
    <w:embedBold r:id="rId4" w:fontKey="{C981FBF2-3E84-0748-9211-49ED9CBB3A37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5" w:fontKey="{661F5941-13ED-A84E-A5DA-6F2C77324A78}"/>
  </w:font>
  <w:font w:name="Cambria">
    <w:panose1 w:val="02040503050406030204"/>
    <w:charset w:val="00"/>
    <w:family w:val="roman"/>
    <w:notTrueType/>
    <w:pitch w:val="default"/>
    <w:embedRegular r:id="rId6" w:fontKey="{5FCE2A83-1BB4-2047-9031-989E5B978F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11F"/>
    <w:rsid w:val="0000511F"/>
    <w:rsid w:val="00351E31"/>
    <w:rsid w:val="00654432"/>
    <w:rsid w:val="0078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88E279"/>
  <w15:docId w15:val="{0BF66D39-E190-9541-8298-EBBFA46E9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3420</Characters>
  <Application>Microsoft Office Word</Application>
  <DocSecurity>0</DocSecurity>
  <Lines>28</Lines>
  <Paragraphs>7</Paragraphs>
  <ScaleCrop>false</ScaleCrop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du Vall</cp:lastModifiedBy>
  <cp:revision>3</cp:revision>
  <dcterms:created xsi:type="dcterms:W3CDTF">2026-02-19T11:15:00Z</dcterms:created>
  <dcterms:modified xsi:type="dcterms:W3CDTF">2026-02-19T11:15:00Z</dcterms:modified>
</cp:coreProperties>
</file>